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0B" w:rsidRPr="00A73C0B" w:rsidRDefault="00A73C0B" w:rsidP="00A73C0B">
      <w:pPr>
        <w:spacing w:before="100" w:beforeAutospacing="1" w:after="100" w:afterAutospacing="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Одобрены</w:t>
      </w:r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Комиссией по проведению</w:t>
      </w:r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административной реформы </w:t>
      </w:r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  <w:proofErr w:type="gramStart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</w:t>
      </w:r>
      <w:proofErr w:type="gramEnd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gramStart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Ханты-Мансийском</w:t>
      </w:r>
      <w:proofErr w:type="gramEnd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автономном округе – </w:t>
      </w:r>
      <w:proofErr w:type="spellStart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Югре</w:t>
      </w:r>
      <w:proofErr w:type="spellEnd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МЕТОДИЧЕСКИЕ РЕКОМЕНДАЦИИ</w:t>
      </w:r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по внедрению в исполнительных органах государственной </w:t>
      </w:r>
      <w:proofErr w:type="gramStart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власти</w:t>
      </w:r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автономного округа административных регламентов исполнения государственных функций</w:t>
      </w:r>
      <w:proofErr w:type="gramEnd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и предоставления государственных услуг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Содержание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1"/>
        <w:gridCol w:w="8822"/>
      </w:tblGrid>
      <w:tr w:rsidR="00A73C0B" w:rsidRPr="00A73C0B">
        <w:trPr>
          <w:trHeight w:val="285"/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5" w:anchor="1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Назначение методических указаний</w:t>
              </w:r>
            </w:hyperlink>
          </w:p>
        </w:tc>
      </w:tr>
      <w:tr w:rsidR="00A73C0B" w:rsidRPr="00A73C0B">
        <w:trPr>
          <w:trHeight w:val="285"/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6" w:anchor="2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Определения</w:t>
              </w:r>
            </w:hyperlink>
          </w:p>
        </w:tc>
      </w:tr>
      <w:tr w:rsidR="00A73C0B" w:rsidRPr="00A73C0B">
        <w:trPr>
          <w:trHeight w:val="285"/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7" w:anchor="3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Этапы внедрения административных регламентов</w:t>
              </w:r>
            </w:hyperlink>
          </w:p>
        </w:tc>
      </w:tr>
      <w:tr w:rsidR="00A73C0B" w:rsidRPr="00A73C0B">
        <w:trPr>
          <w:trHeight w:val="285"/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8" w:anchor="3.1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Финансово-экономическое обоснование</w:t>
              </w:r>
            </w:hyperlink>
          </w:p>
        </w:tc>
      </w:tr>
      <w:tr w:rsidR="00A73C0B" w:rsidRPr="00A73C0B">
        <w:trPr>
          <w:trHeight w:val="285"/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9" w:anchor="3.1.1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Подготовка раздела "1. Общие положения"</w:t>
              </w:r>
            </w:hyperlink>
          </w:p>
        </w:tc>
      </w:tr>
      <w:tr w:rsidR="00A73C0B" w:rsidRPr="00A73C0B">
        <w:trPr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0" w:anchor="3.1.2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Подготовка раздела "2. Нормативно-правовое обеспечение"</w:t>
              </w:r>
            </w:hyperlink>
          </w:p>
        </w:tc>
      </w:tr>
      <w:tr w:rsidR="00A73C0B" w:rsidRPr="00A73C0B">
        <w:trPr>
          <w:trHeight w:val="285"/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1" w:anchor="3.1.3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Подготовка раздела "3. Методическое обеспечение"</w:t>
              </w:r>
            </w:hyperlink>
          </w:p>
        </w:tc>
      </w:tr>
      <w:tr w:rsidR="00A73C0B" w:rsidRPr="00A73C0B">
        <w:trPr>
          <w:trHeight w:val="285"/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2" w:anchor="3.1.4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Подготовка раздела "4. Кадровое обеспечение"</w:t>
              </w:r>
            </w:hyperlink>
          </w:p>
        </w:tc>
      </w:tr>
      <w:tr w:rsidR="00A73C0B" w:rsidRPr="00A73C0B">
        <w:trPr>
          <w:trHeight w:val="285"/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3" w:anchor="3.1.5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Подготовка раздела "5. Организационное обеспечение"</w:t>
              </w:r>
            </w:hyperlink>
          </w:p>
        </w:tc>
      </w:tr>
      <w:tr w:rsidR="00A73C0B" w:rsidRPr="00A73C0B">
        <w:trPr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4" w:anchor="3.1.6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Подготовка раздела "6. Материально-техническое обеспечение"</w:t>
              </w:r>
            </w:hyperlink>
          </w:p>
        </w:tc>
      </w:tr>
      <w:tr w:rsidR="00A73C0B" w:rsidRPr="00A73C0B">
        <w:trPr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anchor="3.1.7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Подготовка раздела "7. Информационно-технологическое обеспечение"</w:t>
              </w:r>
            </w:hyperlink>
          </w:p>
        </w:tc>
      </w:tr>
      <w:tr w:rsidR="00A73C0B" w:rsidRPr="00A73C0B">
        <w:trPr>
          <w:trHeight w:val="150"/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line="150" w:lineRule="atLeas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spacing w:line="150" w:lineRule="atLeas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6" w:anchor="3.2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Формирование плана мероприятий переходного периода</w:t>
              </w:r>
            </w:hyperlink>
          </w:p>
        </w:tc>
      </w:tr>
      <w:tr w:rsidR="00A73C0B" w:rsidRPr="00A73C0B">
        <w:trPr>
          <w:trHeight w:val="150"/>
          <w:tblCellSpacing w:w="7" w:type="dxa"/>
        </w:trPr>
        <w:tc>
          <w:tcPr>
            <w:tcW w:w="250" w:type="pct"/>
            <w:hideMark/>
          </w:tcPr>
          <w:p w:rsidR="00A73C0B" w:rsidRPr="00A73C0B" w:rsidRDefault="00A73C0B" w:rsidP="00A73C0B">
            <w:pPr>
              <w:spacing w:before="100" w:beforeAutospacing="1" w:after="100" w:afterAutospacing="1" w:line="150" w:lineRule="atLeas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50" w:type="pct"/>
            <w:hideMark/>
          </w:tcPr>
          <w:p w:rsidR="00A73C0B" w:rsidRPr="00A73C0B" w:rsidRDefault="00A73C0B" w:rsidP="00A73C0B">
            <w:pPr>
              <w:spacing w:line="150" w:lineRule="atLeas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7" w:anchor="3.3" w:history="1">
              <w:r w:rsidRPr="00A73C0B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u w:val="single"/>
                  <w:lang w:eastAsia="ru-RU"/>
                </w:rPr>
                <w:t>Реализация мероприятий</w:t>
              </w:r>
            </w:hyperlink>
          </w:p>
        </w:tc>
      </w:tr>
    </w:tbl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1"/>
      <w:bookmarkEnd w:id="0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  Назначение методических указаний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Методические указания предназначены для использования исполнительными органами государственной власти автономного округа, к сфере деятельности которых относится исполнение соответствующих государственных функций или предоставление соответствующих государственных услуг, при переходе к реализации административных процедур в соответствие административному регламенту (внедрению административных регламентов).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Настоящие Методические рекомендации разработаны на основе:</w:t>
      </w:r>
    </w:p>
    <w:p w:rsidR="00A73C0B" w:rsidRPr="00A73C0B" w:rsidRDefault="00A73C0B" w:rsidP="00A73C0B">
      <w:pPr>
        <w:numPr>
          <w:ilvl w:val="0"/>
          <w:numId w:val="1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утвержденного постановлением Правительства Российской Федерации от 11 ноября 2005 года № 679; </w:t>
      </w:r>
    </w:p>
    <w:p w:rsidR="00A73C0B" w:rsidRPr="00A73C0B" w:rsidRDefault="00A73C0B" w:rsidP="00A73C0B">
      <w:pPr>
        <w:numPr>
          <w:ilvl w:val="0"/>
          <w:numId w:val="1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Федерального закона Российской Федерации от 2 мая 2006 года № 59-ФЗ "О порядке рассмотрения обращений граждан Российской Федерации"; </w:t>
      </w:r>
    </w:p>
    <w:p w:rsidR="00A73C0B" w:rsidRPr="00A73C0B" w:rsidRDefault="00A73C0B" w:rsidP="00A73C0B">
      <w:pPr>
        <w:numPr>
          <w:ilvl w:val="0"/>
          <w:numId w:val="1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распоряжения Правительства автономного округа от 29 декабря 2006 года № 548-рп "О Временном </w:t>
      </w:r>
      <w:proofErr w:type="gramStart"/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порядке</w:t>
      </w:r>
      <w:proofErr w:type="gramEnd"/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услуг". 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2"/>
      <w:bookmarkEnd w:id="1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Определения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настоящих Методических </w:t>
      </w:r>
      <w:proofErr w:type="gramStart"/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рекомендациях</w:t>
      </w:r>
      <w:proofErr w:type="gramEnd"/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используются следующие термины и определения:</w:t>
      </w:r>
    </w:p>
    <w:p w:rsidR="00A73C0B" w:rsidRPr="00A73C0B" w:rsidRDefault="00A73C0B" w:rsidP="00A73C0B">
      <w:pPr>
        <w:shd w:val="clear" w:color="auto" w:fill="FFFFFF"/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административный регламент </w:t>
      </w: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исполнения государственной функции или предоставления государственной услуги (далее – административный регламент) – нормативный правовой акт, определяющий:</w:t>
      </w:r>
    </w:p>
    <w:p w:rsidR="00A73C0B" w:rsidRPr="00A73C0B" w:rsidRDefault="00A73C0B" w:rsidP="00A73C0B">
      <w:pPr>
        <w:numPr>
          <w:ilvl w:val="0"/>
          <w:numId w:val="2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сроки и последовательность действий исполнительного органа государственной власти автономного округа; </w:t>
      </w:r>
    </w:p>
    <w:p w:rsidR="00A73C0B" w:rsidRPr="00A73C0B" w:rsidRDefault="00A73C0B" w:rsidP="00A73C0B">
      <w:pPr>
        <w:numPr>
          <w:ilvl w:val="0"/>
          <w:numId w:val="2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взаимодействия между его структурными подразделениями и должностными лицами; </w:t>
      </w:r>
    </w:p>
    <w:p w:rsidR="00A73C0B" w:rsidRPr="00A73C0B" w:rsidRDefault="00A73C0B" w:rsidP="00A73C0B">
      <w:pPr>
        <w:numPr>
          <w:ilvl w:val="0"/>
          <w:numId w:val="2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взаимодействия с другими исполнительными органами государственной власти автономного округа и организациями; </w:t>
      </w:r>
    </w:p>
    <w:p w:rsidR="00A73C0B" w:rsidRPr="00A73C0B" w:rsidRDefault="00A73C0B" w:rsidP="00A73C0B">
      <w:pPr>
        <w:numPr>
          <w:ilvl w:val="0"/>
          <w:numId w:val="2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обжалования действий (бездействия) должностных лиц при исполнении государственных функций или предоставлении государственных услуг. 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административная процедура</w:t>
      </w: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последовательность действий исполнительного органа государственной власти автономного округа при исполнении государственной функции или предоставлении государственной услуги.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применение административного регламента</w:t>
      </w: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исполнение государственной функции или предоставление государственной услуги в строгом соответствии с административным регламентом.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внедрение административных регламентов</w:t>
      </w: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процесс перехода от действующих административных процедур исполнения государственной функции или предоставления государственной услуги к их применению административного регламента.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финансово-экономическое обоснование</w:t>
      </w: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процесс объективной оценки необходимых и достаточных затрат для обеспечения применения административного регламента.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3"/>
      <w:bookmarkEnd w:id="2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  Этапы внедрения административных регламентов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Внедрение административных регламентов включает следующие этапы:</w:t>
      </w:r>
    </w:p>
    <w:p w:rsidR="00A73C0B" w:rsidRPr="00A73C0B" w:rsidRDefault="00A73C0B" w:rsidP="00A73C0B">
      <w:pPr>
        <w:numPr>
          <w:ilvl w:val="0"/>
          <w:numId w:val="3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финансово-экономическое обоснование. Результатом является документ (далее – Пояснительная записка), детализирующий мероприятия по совершенствованию административных процедур и содержащий конкретный расчет затрат по видам обеспечения указанного процесса; </w:t>
      </w:r>
    </w:p>
    <w:p w:rsidR="00A73C0B" w:rsidRPr="00A73C0B" w:rsidRDefault="00A73C0B" w:rsidP="00A73C0B">
      <w:pPr>
        <w:numPr>
          <w:ilvl w:val="0"/>
          <w:numId w:val="3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формирование плана мероприятий переходного периода. Результатом является документ (далее – Календарный план внедрения), устанавливающий последовательность мероприятий, представленных в Пояснительной записке с указанием сроков их реализации, формы отчета о выполнении, ответственных лиц и стоимости; </w:t>
      </w:r>
    </w:p>
    <w:p w:rsidR="00A73C0B" w:rsidRPr="00A73C0B" w:rsidRDefault="00A73C0B" w:rsidP="00A73C0B">
      <w:pPr>
        <w:numPr>
          <w:ilvl w:val="0"/>
          <w:numId w:val="3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реализация мероприятий. Результатом является применение административного регламента. 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Ниже в соответствующих разделах приведены рекомендации по проведению указанных этапов.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3.1"/>
      <w:bookmarkEnd w:id="3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3.1  Финансово-экономическое обоснование 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Основанием для начала работ по финансово-экономическому обоснованию является утверждение административного регламента. Работы финансово-экономического обоснования завершаются созданием Пояснительной записки и проводятся рабочей группой исполнительного органа государственной власти автономного округа, включающей специалистов структурных подразделений, к компетенции которых относится государственная услуга (государственная функция). В </w:t>
      </w:r>
      <w:proofErr w:type="gramStart"/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государственная услуга (государственная функция) реализуется несколькими исполнительными органами государственной власти автономного округа,  Пояснительная записка формируется совместной рабочей группой.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Рекомендуемый функциональный состав рабочей группы включает специалистов по правовому обеспечению, финансово-экономическому планированию, информационно-технологическому обеспечению, специалистов структурных подразделений, к компетенции которых относится государственная услуга, а также представителя руководства исполнительного органа государственной власти автономного округа, реализующего государственную функцию (предоставляющего государственную услугу). 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Разработанная Пояснительная записка в установленном порядке согласуется </w:t>
      </w:r>
      <w:proofErr w:type="gramStart"/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proofErr w:type="gramEnd"/>
    </w:p>
    <w:p w:rsidR="00A73C0B" w:rsidRPr="00A73C0B" w:rsidRDefault="00A73C0B" w:rsidP="00A73C0B">
      <w:pPr>
        <w:numPr>
          <w:ilvl w:val="0"/>
          <w:numId w:val="4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Департаментом по вопросам организации деятельности Правительства автономного округа, </w:t>
      </w:r>
    </w:p>
    <w:p w:rsidR="00A73C0B" w:rsidRPr="00A73C0B" w:rsidRDefault="00A73C0B" w:rsidP="00A73C0B">
      <w:pPr>
        <w:numPr>
          <w:ilvl w:val="0"/>
          <w:numId w:val="4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Департаментом финансов автономного округа, </w:t>
      </w:r>
    </w:p>
    <w:p w:rsidR="00A73C0B" w:rsidRPr="00A73C0B" w:rsidRDefault="00A73C0B" w:rsidP="00A73C0B">
      <w:pPr>
        <w:numPr>
          <w:ilvl w:val="0"/>
          <w:numId w:val="4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Департаментом экономической политики автономного округа, </w:t>
      </w:r>
    </w:p>
    <w:p w:rsidR="00A73C0B" w:rsidRPr="00A73C0B" w:rsidRDefault="00A73C0B" w:rsidP="00A73C0B">
      <w:pPr>
        <w:numPr>
          <w:ilvl w:val="0"/>
          <w:numId w:val="4"/>
        </w:num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Комитетом по информационным ресурсам. 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Согласованная Пояснительная записка утверждается Комиссией по административной реформе автономного округа.</w:t>
      </w:r>
    </w:p>
    <w:p w:rsidR="00A73C0B" w:rsidRPr="00A73C0B" w:rsidRDefault="00A73C0B" w:rsidP="00A73C0B">
      <w:pPr>
        <w:spacing w:before="100" w:beforeAutospacing="1" w:after="100" w:afterAutospacing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Пояснительная записка включает в себя разделы: "Общие положения", "Нормативно-правовое обеспечение", "Методическое обеспечение", "Кадровое обеспечение", "Организационное обеспечение", "Материально-техническое обеспечение", "Информационно-технологическое обеспечение".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3.1.1"/>
      <w:bookmarkEnd w:id="4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3.1.1  Подготовка раздела "1. Общие положения"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Настоящий раздел включает два пункта: "Наименование административного регламента", "Исполнители". 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Пункт "Наименование административного регламента" содержит точное наименование административного регламента в той формулировке, в которой оно дано в установившем ее нормативном правовом акте, а также реквизиты указанного нормативного правового акта. 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Пример.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b/>
          <w:bCs/>
          <w:sz w:val="24"/>
          <w:szCs w:val="24"/>
          <w:lang w:eastAsia="ru-RU"/>
        </w:rPr>
        <w:lastRenderedPageBreak/>
        <w:t>1.1. Наименование административного регламента:</w:t>
      </w:r>
      <w:r w:rsidRPr="00A73C0B">
        <w:rPr>
          <w:rFonts w:eastAsia="Times New Roman"/>
          <w:sz w:val="24"/>
          <w:szCs w:val="24"/>
          <w:lang w:eastAsia="ru-RU"/>
        </w:rPr>
        <w:t xml:space="preserve"> Административный регламент предоставления государственной услуги по оказанию адресной социальной помощи малоимущим семьям, малоимущим одиноким гражданам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Пункт "Исполнители" содержит наименование  исполнительного органа государственной власти автономного округа, исполняющего государственную функцию (предоставляющего государственную услугу), а также наименования всех иных исполнительных органов государственной власти автономного округа, органов местного самоуправления муниципальных образований автономного округа и организаций, участвующих в исполнении вышеуказанной государственной функции (предоставлении государственной услуги). Этот пункт рекомендуется сформулировать в точности, как указанные сведения даны в пункте 1.3 текста административного регламента.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Пример. 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b/>
          <w:bCs/>
          <w:sz w:val="24"/>
          <w:szCs w:val="24"/>
          <w:lang w:eastAsia="ru-RU"/>
        </w:rPr>
        <w:t>1.2. Исполнители</w:t>
      </w:r>
      <w:r w:rsidRPr="00A73C0B">
        <w:rPr>
          <w:rFonts w:eastAsia="Times New Roman"/>
          <w:sz w:val="24"/>
          <w:szCs w:val="24"/>
          <w:lang w:eastAsia="ru-RU"/>
        </w:rPr>
        <w:t xml:space="preserve">. Государственная услуга предоставляется государственными гражданскими служащими Департамента труда и социальной защиты населения Ханты-Мансийского автономного округа – </w:t>
      </w:r>
      <w:proofErr w:type="spellStart"/>
      <w:r w:rsidRPr="00A73C0B">
        <w:rPr>
          <w:rFonts w:eastAsia="Times New Roman"/>
          <w:sz w:val="24"/>
          <w:szCs w:val="24"/>
          <w:lang w:eastAsia="ru-RU"/>
        </w:rPr>
        <w:t>Югры</w:t>
      </w:r>
      <w:proofErr w:type="spellEnd"/>
      <w:r w:rsidRPr="00A73C0B">
        <w:rPr>
          <w:rFonts w:eastAsia="Times New Roman"/>
          <w:sz w:val="24"/>
          <w:szCs w:val="24"/>
          <w:lang w:eastAsia="ru-RU"/>
        </w:rPr>
        <w:t xml:space="preserve"> (далее – Департамент),  территориальных Управлений социальной защиты и Комплексных  центров социального обслуживания населения. При предоставлении государственной услуги осуществляется взаимодействие с Департаментом финансов автономного округа. Для проверки сведений о малоимущих семьях, малоимущих одиноких гражданах в целях определения права на адресную социальную помощи осуществляется взаимодействие с органами местного самоуправления, органами образования, органами здравоохранения, органами опеки и попечительства, комиссиями по делам несовершеннолетних, сельскими и поселковыми администрациями, предприятиями и организациями.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3.1.2"/>
      <w:bookmarkEnd w:id="5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3.1.2  Подготовка раздела "2. Нормативно-правовое обеспечение"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Настоящий раздел состоит из трех пунктов: "2.1. Разработка нормативных правовых документов", "2.2. Фиксация ответственности", "2.3. Дополнительные работы".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Пункт "</w:t>
      </w:r>
      <w:r w:rsidRPr="00A73C0B">
        <w:rPr>
          <w:rFonts w:eastAsia="Times New Roman"/>
          <w:b/>
          <w:bCs/>
          <w:sz w:val="24"/>
          <w:szCs w:val="24"/>
          <w:lang w:eastAsia="ru-RU"/>
        </w:rPr>
        <w:t>2.1. Разработка нормативных правовых документов</w:t>
      </w:r>
      <w:r w:rsidRPr="00A73C0B">
        <w:rPr>
          <w:rFonts w:eastAsia="Times New Roman"/>
          <w:sz w:val="24"/>
          <w:szCs w:val="24"/>
          <w:lang w:eastAsia="ru-RU"/>
        </w:rPr>
        <w:t>"  содержит перечень и краткую характеристику документов, которые необходимо принять во изменение и дополнение существующих норм для обеспечения применения административного регламента. Содержание пункта рекомендуется представлять в виде таблицы, графы которой называются "Порядковый номер", "Наименование НПА", "Пункт регламента", "Трудоемкость", "Срок исполнения".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Графа "Порядковый номер" содержит номер мероприятия по порядку. Порядок мероприятий определяется по усмотрению составителей перечня.  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Графа "Наименование НПА" содержит точную формулировку и реквизиты прорабатываемого нормативного правового акта.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Графа "Пункт регламента" содержит перечень пунктов административного регламента, исполнение которых требует соответствующих изменений. 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Графа "Трудоемкость" содержит ориентировочное время, которое необходимо на подготовку проекта нормативного правового документа. Время определяется исходя из практики выполнения аналогичных работ.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lastRenderedPageBreak/>
        <w:t>Графа "Срок исполнения" содержит дату готовности проекта документа. Дата готовности указывается месяцем и годом.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Пример.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b/>
          <w:bCs/>
          <w:sz w:val="24"/>
          <w:szCs w:val="24"/>
          <w:lang w:eastAsia="ru-RU"/>
        </w:rPr>
        <w:t>2.1. Разработка нормативных правовых документов</w:t>
      </w:r>
      <w:r w:rsidRPr="00A73C0B">
        <w:rPr>
          <w:rFonts w:eastAsia="Times New Roman"/>
          <w:sz w:val="24"/>
          <w:szCs w:val="24"/>
          <w:lang w:eastAsia="ru-RU"/>
        </w:rPr>
        <w:t xml:space="preserve"> включает мероприятия, показанные в таблице 1.</w:t>
      </w:r>
    </w:p>
    <w:p w:rsidR="00A73C0B" w:rsidRPr="00A73C0B" w:rsidRDefault="00A73C0B" w:rsidP="00A73C0B">
      <w:pPr>
        <w:spacing w:before="100" w:beforeAutospacing="1" w:after="100" w:afterAutospacing="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3C0B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Таблица 1. Мероприятия по разработке нормативных правовых документов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6"/>
        <w:gridCol w:w="4655"/>
        <w:gridCol w:w="1368"/>
        <w:gridCol w:w="1639"/>
        <w:gridCol w:w="1375"/>
      </w:tblGrid>
      <w:tr w:rsidR="00A73C0B" w:rsidRPr="00A73C0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Пункт регламента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A73C0B" w:rsidRPr="00A73C0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внесении</w:t>
            </w:r>
            <w:proofErr w:type="gramEnd"/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изменений и дополнений в Постановление Правительства Ханты-Мансийского автономного округа от 4 апреля 2003 года № 112-п "О порядке и условиях предоставления адресной социальной помощи в Ханты-Мансийском автономном округе"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3.4.5,</w:t>
            </w:r>
          </w:p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3.8.1, 3.8.3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Рабочая неделя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Март 2007</w:t>
            </w:r>
          </w:p>
        </w:tc>
      </w:tr>
    </w:tbl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Пункт "</w:t>
      </w:r>
      <w:r w:rsidRPr="00A73C0B">
        <w:rPr>
          <w:rFonts w:eastAsia="Times New Roman"/>
          <w:b/>
          <w:bCs/>
          <w:sz w:val="24"/>
          <w:szCs w:val="24"/>
          <w:lang w:eastAsia="ru-RU"/>
        </w:rPr>
        <w:t>2.2. Фиксация ответственности</w:t>
      </w:r>
      <w:r w:rsidRPr="00A73C0B">
        <w:rPr>
          <w:rFonts w:eastAsia="Times New Roman"/>
          <w:sz w:val="24"/>
          <w:szCs w:val="24"/>
          <w:lang w:eastAsia="ru-RU"/>
        </w:rPr>
        <w:t xml:space="preserve">" содержит перечень и краткую характеристику документов, которые необходимо принять во изменение и дополнение существующих положений об исполнительных органах государственной власти автономного округа, их территориальных органов, структурных подразделений, а также в должностных регламентах государственных гражданских служащих. 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Содержание пункта рекомендуется представлять в виде нескольких таблиц по одной для каждого органа власти или структурного подразделения. Таблицы, графы которой называются "Порядковый номер", "Наименование документа", "Пункт регламента", "Характеристика изменений".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Пример.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1"/>
        <w:gridCol w:w="4245"/>
        <w:gridCol w:w="1895"/>
        <w:gridCol w:w="2842"/>
      </w:tblGrid>
      <w:tr w:rsidR="00A73C0B" w:rsidRPr="00A73C0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Пункт регламента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Характеристика изменений</w:t>
            </w:r>
          </w:p>
        </w:tc>
      </w:tr>
      <w:tr w:rsidR="00A73C0B" w:rsidRPr="00A73C0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Положение о департаменте труда и социальной защиты населения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Включить в раздел "Полномочия департамента" недостающие пункты</w:t>
            </w:r>
          </w:p>
        </w:tc>
      </w:tr>
    </w:tbl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Также рекомендуется представить сводные характеристики по все изменениям, включая перечень изменяемых документов и сроки изменений.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Пример.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6116"/>
        <w:gridCol w:w="2837"/>
      </w:tblGrid>
      <w:tr w:rsidR="00A73C0B" w:rsidRPr="00A73C0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 подготовки документа</w:t>
            </w:r>
          </w:p>
        </w:tc>
      </w:tr>
      <w:tr w:rsidR="00A73C0B" w:rsidRPr="00A73C0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Положение о департаменте труда и социальной защиты населения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C0B" w:rsidRPr="00A73C0B" w:rsidRDefault="00A73C0B" w:rsidP="00A73C0B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C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Март 2007</w:t>
            </w:r>
          </w:p>
        </w:tc>
      </w:tr>
    </w:tbl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lastRenderedPageBreak/>
        <w:t>Пункт "2.3. Дополнительные работы" должен содержать перечень и сроки неустановленных пунктами 2.1 и 2.2 мероприятий по разработке и изменению нормативно-правовых документов, обеспечивающих применение административного регламента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Финансовые затраты по разделу "2. Нормативно-правовое обеспечение" не планируются.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3.1.3"/>
      <w:bookmarkEnd w:id="6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3.1.3  Подготовка раздела "3. Методическое обеспечение"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Настоящий раздел содержит характеристику мероприятий по разработке инструкций, методических писем для государственных гражданских служащих, разъясняющих применения новаций, вносимых административным регламентом (если в этом есть необходимость). При наличии таких мероприятий их следует привести в виде перечня, указав наименование методического документа, ссылку на пункт административного регламента, сроки подготовки документа и ответственного исполнителя. Рекомендуется указанные сведения привести в виде таблицы с соответствующими графами. В </w:t>
      </w:r>
      <w:proofErr w:type="gramStart"/>
      <w:r w:rsidRPr="00A73C0B">
        <w:rPr>
          <w:rFonts w:eastAsia="Times New Roman"/>
          <w:sz w:val="24"/>
          <w:szCs w:val="24"/>
          <w:lang w:eastAsia="ru-RU"/>
        </w:rPr>
        <w:t>случае</w:t>
      </w:r>
      <w:proofErr w:type="gramEnd"/>
      <w:r w:rsidRPr="00A73C0B">
        <w:rPr>
          <w:rFonts w:eastAsia="Times New Roman"/>
          <w:sz w:val="24"/>
          <w:szCs w:val="24"/>
          <w:lang w:eastAsia="ru-RU"/>
        </w:rPr>
        <w:t xml:space="preserve"> отсутствия указанных мероприятий в дано разделе следует указать: мероприятия по методическому обеспечению применения административного регламента не планируются.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Финансовые затраты по разделу "3. Методическое обеспечение" не планируются.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3.1.4"/>
      <w:bookmarkEnd w:id="7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3.1.4  Подготовка раздела "4. Кадровое обеспечение"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Настоящий раздел содержат два пункта: "4.1. Изменение штатной структуры", "4.2. Повышение квалификации".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Пункт "</w:t>
      </w:r>
      <w:r w:rsidRPr="00A73C0B">
        <w:rPr>
          <w:rFonts w:eastAsia="Times New Roman"/>
          <w:b/>
          <w:bCs/>
          <w:sz w:val="24"/>
          <w:szCs w:val="24"/>
          <w:lang w:eastAsia="ru-RU"/>
        </w:rPr>
        <w:t>4.1. Изменение штатной структуры</w:t>
      </w:r>
      <w:r w:rsidRPr="00A73C0B">
        <w:rPr>
          <w:rFonts w:eastAsia="Times New Roman"/>
          <w:sz w:val="24"/>
          <w:szCs w:val="24"/>
          <w:lang w:eastAsia="ru-RU"/>
        </w:rPr>
        <w:t>" содержит детальное описание изменений штатной структуры исполнительного органа государственной власти автономного округа, его территориальных органов, обособленных структурных подразделений, которое необходимо произвести для применения административного регламента и выводы по затратам на указанные преобразования.  Детальное описание включает предложения по изменению штатной структуры каждого отдельно взятого органа власти (территориального органа, обособленного структурного подразделения). Выводы должны иллюстрировать изменение бюджета в части производимых штатных преобразований.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В </w:t>
      </w:r>
      <w:proofErr w:type="gramStart"/>
      <w:r w:rsidRPr="00A73C0B">
        <w:rPr>
          <w:rFonts w:eastAsia="Times New Roman"/>
          <w:sz w:val="24"/>
          <w:szCs w:val="24"/>
          <w:lang w:eastAsia="ru-RU"/>
        </w:rPr>
        <w:t>качестве</w:t>
      </w:r>
      <w:proofErr w:type="gramEnd"/>
      <w:r w:rsidRPr="00A73C0B">
        <w:rPr>
          <w:rFonts w:eastAsia="Times New Roman"/>
          <w:sz w:val="24"/>
          <w:szCs w:val="24"/>
          <w:lang w:eastAsia="ru-RU"/>
        </w:rPr>
        <w:t xml:space="preserve"> методов при формировании данного раздела рекомендуется использовать существующую практику изменения штатной структуры.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Пункт "</w:t>
      </w:r>
      <w:r w:rsidRPr="00A73C0B">
        <w:rPr>
          <w:rFonts w:eastAsia="Times New Roman"/>
          <w:b/>
          <w:bCs/>
          <w:sz w:val="24"/>
          <w:szCs w:val="24"/>
          <w:lang w:eastAsia="ru-RU"/>
        </w:rPr>
        <w:t>4.2. Повышение квалификации</w:t>
      </w:r>
      <w:r w:rsidRPr="00A73C0B">
        <w:rPr>
          <w:rFonts w:eastAsia="Times New Roman"/>
          <w:sz w:val="24"/>
          <w:szCs w:val="24"/>
          <w:lang w:eastAsia="ru-RU"/>
        </w:rPr>
        <w:t>" должен содержать перечень, сроки и затраты мероприятий по доведению до ответственных лиц необходимости и способов применения административного регламента. Подготовка методических материалов для обучения должна быть предусмотрена в разделе "3. Методическое обеспечение". При расчете затрат рекомендуется использовать существующую практику планирования затрат на проведение семинаров, конференций и иных методов обучения персонала.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3.1.5"/>
      <w:bookmarkEnd w:id="8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3.1.5  Подготовка раздела "5. Организационное обеспечение"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В </w:t>
      </w:r>
      <w:proofErr w:type="gramStart"/>
      <w:r w:rsidRPr="00A73C0B">
        <w:rPr>
          <w:rFonts w:eastAsia="Times New Roman"/>
          <w:sz w:val="24"/>
          <w:szCs w:val="24"/>
          <w:lang w:eastAsia="ru-RU"/>
        </w:rPr>
        <w:t>настоящем</w:t>
      </w:r>
      <w:proofErr w:type="gramEnd"/>
      <w:r w:rsidRPr="00A73C0B">
        <w:rPr>
          <w:rFonts w:eastAsia="Times New Roman"/>
          <w:sz w:val="24"/>
          <w:szCs w:val="24"/>
          <w:lang w:eastAsia="ru-RU"/>
        </w:rPr>
        <w:t xml:space="preserve"> разделе необходимо привести перечень и сроки исполнения организационных мероприятий (документов), проведение которых обеспечит применение административного регламента. Финансовые затраты по разделу "5. Организационное обеспечение" не планируются.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3.1.6"/>
      <w:bookmarkEnd w:id="9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3.1.6  Подготовка раздела "6. Материально-техническое обеспечение"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Настоящий раздел должен содержать два пункта: "6.1. Обоснование затрат", "6.2. Состав мероприятий". 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Пункт "</w:t>
      </w:r>
      <w:r w:rsidRPr="00A73C0B">
        <w:rPr>
          <w:rFonts w:eastAsia="Times New Roman"/>
          <w:b/>
          <w:bCs/>
          <w:sz w:val="24"/>
          <w:szCs w:val="24"/>
          <w:lang w:eastAsia="ru-RU"/>
        </w:rPr>
        <w:t>6.1. Обоснование затрат</w:t>
      </w:r>
      <w:r w:rsidRPr="00A73C0B">
        <w:rPr>
          <w:rFonts w:eastAsia="Times New Roman"/>
          <w:sz w:val="24"/>
          <w:szCs w:val="24"/>
          <w:lang w:eastAsia="ru-RU"/>
        </w:rPr>
        <w:t xml:space="preserve">" должен содержать детальную характеристику всех закупок, которые необходимо произвести для применения административного регламента и выводы по общим затратам раздела. Рекомендуется детальную характеристику проводить для каждого отдельно взятого органа власти (территориального органа, обособленного структурного подразделения). При формировании раздела следует указать текущее положение и требование административного регламента, которое не может быть исполнено без соответствующего материально-технического обеспечения. 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Пункт "</w:t>
      </w:r>
      <w:r w:rsidRPr="00A73C0B">
        <w:rPr>
          <w:rFonts w:eastAsia="Times New Roman"/>
          <w:b/>
          <w:bCs/>
          <w:sz w:val="24"/>
          <w:szCs w:val="24"/>
          <w:lang w:eastAsia="ru-RU"/>
        </w:rPr>
        <w:t>6.2. Состав мероприятий</w:t>
      </w:r>
      <w:r w:rsidRPr="00A73C0B">
        <w:rPr>
          <w:rFonts w:eastAsia="Times New Roman"/>
          <w:sz w:val="24"/>
          <w:szCs w:val="24"/>
          <w:lang w:eastAsia="ru-RU"/>
        </w:rPr>
        <w:t xml:space="preserve">" должен содержать общий перечень мероприятий по материально-техническому обеспечению применения административного регламента, и их сводные характеристики – сроки и стоимость. Содержание пункта рекомендуется представлять в виде таблицы с соответствующими графами. 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3.1.7"/>
      <w:bookmarkEnd w:id="10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3.1.7  Подготовка раздела "7. Информационно-технологическое обеспечение"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Настоящий раздел должен содержать перечень и пояснение необходимости развития имеющейся программно-технической платформы. 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Указанные мероприятия могут относиться только к формированию  требований и технических спецификаций к программно-техническим комплексам, обеспечивающим применение административного регламента.  Мероприятия должны содержать следующие характеристики: порядковый номер, наименование мероприятия (программно-технического комплекса), пункты административного регламента, которые указывают на необходимость создания (развития) имеющейся программно-технической платформы, Фамилию, инициалы, должность и контактные данные лица в исполнительном органе государственной власти автономного округа, которое несет ответственность за проведение мероприятия и срок проведения мероприятия.  Содержание пункта рекомендуется представлять в виде таблицы с соответствующими графами.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Финансовые затраты по разделу "7. Информационно-технологическое обеспечение" не планируются. План развития информационно-технологической инфраструктуры формируется по итогам </w:t>
      </w:r>
      <w:proofErr w:type="gramStart"/>
      <w:r w:rsidRPr="00A73C0B">
        <w:rPr>
          <w:rFonts w:eastAsia="Times New Roman"/>
          <w:sz w:val="24"/>
          <w:szCs w:val="24"/>
          <w:lang w:eastAsia="ru-RU"/>
        </w:rPr>
        <w:t>разработки всех административных регламентов исполнительного органа государственной власти автономного округа</w:t>
      </w:r>
      <w:proofErr w:type="gramEnd"/>
      <w:r w:rsidRPr="00A73C0B">
        <w:rPr>
          <w:rFonts w:eastAsia="Times New Roman"/>
          <w:sz w:val="24"/>
          <w:szCs w:val="24"/>
          <w:lang w:eastAsia="ru-RU"/>
        </w:rPr>
        <w:t xml:space="preserve"> и согласуется Комитетом по информационным ресурсам.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3.2"/>
      <w:bookmarkEnd w:id="11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3.2  Формирование плана мероприятий переходного периода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>Основанием для формирования плана мероприятий переходного периода является утвержденная Пояснительная записка. План мероприятий переходного периода включает в себя перечень (с указанием сроков, стоимости и ответственных лиц) всех мероприятий Пояснительной записки, сведенный по разделам и упорядоченный по срокам исполнения внутри разделов.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t xml:space="preserve">План мероприятий утверждается руководителем исполнительного органа государственной власти автономного округа и принимается к исполнению. </w:t>
      </w:r>
    </w:p>
    <w:p w:rsidR="00A73C0B" w:rsidRPr="00A73C0B" w:rsidRDefault="00A73C0B" w:rsidP="00A73C0B">
      <w:pPr>
        <w:spacing w:before="100" w:beforeAutospacing="1" w:after="100" w:afterAutospacing="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3.3"/>
      <w:bookmarkEnd w:id="12"/>
      <w:r w:rsidRPr="00A73C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3.3  Реализация мероприятий</w:t>
      </w:r>
    </w:p>
    <w:p w:rsidR="00A73C0B" w:rsidRPr="00A73C0B" w:rsidRDefault="00A73C0B" w:rsidP="00A73C0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73C0B">
        <w:rPr>
          <w:rFonts w:eastAsia="Times New Roman"/>
          <w:sz w:val="24"/>
          <w:szCs w:val="24"/>
          <w:lang w:eastAsia="ru-RU"/>
        </w:rPr>
        <w:lastRenderedPageBreak/>
        <w:t>Реализация мероприятий Календарного плана внедрения административного регламента непосредственный переход к применению административного регламента. Контроль исполнения Календарного плана должен проводиться в установленном порядке.</w:t>
      </w:r>
    </w:p>
    <w:p w:rsidR="00650AC7" w:rsidRPr="00A73C0B" w:rsidRDefault="00650AC7"/>
    <w:sectPr w:rsidR="00650AC7" w:rsidRPr="00A73C0B" w:rsidSect="0065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518"/>
    <w:multiLevelType w:val="multilevel"/>
    <w:tmpl w:val="DF6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22AC1"/>
    <w:multiLevelType w:val="multilevel"/>
    <w:tmpl w:val="277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97E0E"/>
    <w:multiLevelType w:val="multilevel"/>
    <w:tmpl w:val="692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85174"/>
    <w:multiLevelType w:val="multilevel"/>
    <w:tmpl w:val="2220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0B"/>
    <w:rsid w:val="00071F95"/>
    <w:rsid w:val="000937A9"/>
    <w:rsid w:val="002034A2"/>
    <w:rsid w:val="00291FFA"/>
    <w:rsid w:val="006244A4"/>
    <w:rsid w:val="00650AC7"/>
    <w:rsid w:val="00A73C0B"/>
    <w:rsid w:val="00BC0FFE"/>
    <w:rsid w:val="00D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C0B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A73C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o.ru/adm_reform/metod/m2.htm" TargetMode="External"/><Relationship Id="rId13" Type="http://schemas.openxmlformats.org/officeDocument/2006/relationships/hyperlink" Target="http://www.admhmao.ru/adm_reform/metod/m2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hmao.ru/adm_reform/metod/m2.htm" TargetMode="External"/><Relationship Id="rId12" Type="http://schemas.openxmlformats.org/officeDocument/2006/relationships/hyperlink" Target="http://www.admhmao.ru/adm_reform/metod/m2.htm" TargetMode="External"/><Relationship Id="rId17" Type="http://schemas.openxmlformats.org/officeDocument/2006/relationships/hyperlink" Target="http://www.admhmao.ru/adm_reform/metod/m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hmao.ru/adm_reform/metod/m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hmao.ru/adm_reform/metod/m2.htm" TargetMode="External"/><Relationship Id="rId11" Type="http://schemas.openxmlformats.org/officeDocument/2006/relationships/hyperlink" Target="http://www.admhmao.ru/adm_reform/metod/m2.htm" TargetMode="External"/><Relationship Id="rId5" Type="http://schemas.openxmlformats.org/officeDocument/2006/relationships/hyperlink" Target="http://www.admhmao.ru/adm_reform/metod/m2.htm" TargetMode="External"/><Relationship Id="rId15" Type="http://schemas.openxmlformats.org/officeDocument/2006/relationships/hyperlink" Target="http://www.admhmao.ru/adm_reform/metod/m2.htm" TargetMode="External"/><Relationship Id="rId10" Type="http://schemas.openxmlformats.org/officeDocument/2006/relationships/hyperlink" Target="http://www.admhmao.ru/adm_reform/metod/m2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hmao.ru/adm_reform/metod/m2.htm" TargetMode="External"/><Relationship Id="rId14" Type="http://schemas.openxmlformats.org/officeDocument/2006/relationships/hyperlink" Target="http://www.admhmao.ru/adm_reform/metod/m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2715</Words>
  <Characters>15477</Characters>
  <Application>Microsoft Office Word</Application>
  <DocSecurity>0</DocSecurity>
  <Lines>128</Lines>
  <Paragraphs>36</Paragraphs>
  <ScaleCrop>false</ScaleCrop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Rudakov_uv</dc:creator>
  <cp:keywords/>
  <dc:description/>
  <cp:lastModifiedBy>Rudakov_uv</cp:lastModifiedBy>
  <cp:revision>3</cp:revision>
  <dcterms:created xsi:type="dcterms:W3CDTF">2010-11-13T08:18:00Z</dcterms:created>
  <dcterms:modified xsi:type="dcterms:W3CDTF">2010-11-13T08:18:00Z</dcterms:modified>
</cp:coreProperties>
</file>